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p>
    <w:p>
      <w:pPr>
        <w:jc w:val="center"/>
        <w:rPr>
          <w:b/>
          <w:bCs/>
          <w:sz w:val="36"/>
          <w:szCs w:val="36"/>
        </w:rPr>
      </w:pPr>
    </w:p>
    <w:p>
      <w:pPr>
        <w:jc w:val="center"/>
        <w:rPr>
          <w:b/>
          <w:bCs/>
          <w:sz w:val="36"/>
          <w:szCs w:val="36"/>
        </w:rPr>
      </w:pPr>
    </w:p>
    <w:p>
      <w:pPr>
        <w:jc w:val="distribute"/>
        <w:rPr>
          <w:sz w:val="36"/>
          <w:szCs w:val="36"/>
        </w:rPr>
      </w:pPr>
      <w:r>
        <w:rPr>
          <w:rFonts w:hint="eastAsia"/>
          <w:b/>
          <w:bCs/>
          <w:kern w:val="0"/>
          <w:sz w:val="36"/>
          <w:szCs w:val="36"/>
        </w:rPr>
        <w:t>深圳市粤鑫贵金属有限公司</w:t>
      </w:r>
    </w:p>
    <w:p>
      <w:pPr>
        <w:jc w:val="distribute"/>
        <w:rPr>
          <w:sz w:val="36"/>
          <w:szCs w:val="36"/>
        </w:rPr>
      </w:pPr>
    </w:p>
    <w:p>
      <w:pPr>
        <w:jc w:val="distribute"/>
        <w:rPr>
          <w:sz w:val="36"/>
          <w:szCs w:val="36"/>
        </w:rPr>
      </w:pPr>
    </w:p>
    <w:p/>
    <w:p>
      <w:pPr>
        <w:jc w:val="center"/>
        <w:rPr>
          <w:rFonts w:ascii="华文宋体" w:hAnsi="华文宋体" w:eastAsia="华文宋体"/>
          <w:b/>
          <w:sz w:val="52"/>
          <w:szCs w:val="52"/>
        </w:rPr>
      </w:pPr>
      <w:r>
        <w:rPr>
          <w:rFonts w:hint="eastAsia" w:ascii="华文宋体" w:hAnsi="华文宋体" w:eastAsia="华文宋体"/>
          <w:b/>
          <w:sz w:val="52"/>
          <w:szCs w:val="52"/>
        </w:rPr>
        <w:t>申诉机制</w:t>
      </w:r>
    </w:p>
    <w:p>
      <w:pPr>
        <w:ind w:firstLine="2226" w:firstLineChars="695"/>
        <w:jc w:val="center"/>
        <w:rPr>
          <w:rFonts w:ascii="华文宋体" w:hAnsi="华文宋体" w:eastAsia="华文宋体"/>
          <w:b/>
          <w:bCs/>
          <w:sz w:val="32"/>
        </w:rPr>
      </w:pPr>
    </w:p>
    <w:p>
      <w:pPr>
        <w:spacing w:line="720" w:lineRule="auto"/>
        <w:ind w:firstLine="2249" w:firstLineChars="700"/>
        <w:rPr>
          <w:b/>
          <w:sz w:val="32"/>
          <w:szCs w:val="32"/>
        </w:rPr>
      </w:pPr>
    </w:p>
    <w:p>
      <w:pPr>
        <w:spacing w:line="720" w:lineRule="auto"/>
        <w:ind w:firstLine="2108" w:firstLineChars="700"/>
        <w:rPr>
          <w:b/>
          <w:sz w:val="30"/>
          <w:szCs w:val="30"/>
        </w:rPr>
      </w:pPr>
    </w:p>
    <w:p>
      <w:pPr>
        <w:spacing w:line="360" w:lineRule="auto"/>
        <w:jc w:val="center"/>
        <w:rPr>
          <w:rFonts w:hint="default" w:eastAsia="宋体"/>
          <w:sz w:val="32"/>
          <w:szCs w:val="32"/>
          <w:lang w:val="en-US" w:eastAsia="zh-CN"/>
        </w:rPr>
      </w:pPr>
      <w:r>
        <w:rPr>
          <w:rFonts w:hint="eastAsia"/>
          <w:b/>
          <w:sz w:val="30"/>
          <w:szCs w:val="30"/>
        </w:rPr>
        <w:t>编制：</w:t>
      </w:r>
      <w:r>
        <w:rPr>
          <w:rFonts w:hint="eastAsia"/>
          <w:b/>
          <w:sz w:val="30"/>
          <w:szCs w:val="30"/>
          <w:u w:val="single"/>
        </w:rPr>
        <w:t xml:space="preserve"> </w:t>
      </w:r>
      <w:r>
        <w:rPr>
          <w:rFonts w:hint="eastAsia"/>
          <w:b/>
          <w:sz w:val="30"/>
          <w:szCs w:val="30"/>
          <w:u w:val="single"/>
          <w:lang w:val="en-US" w:eastAsia="zh-CN"/>
        </w:rPr>
        <w:t>杨培茹</w:t>
      </w:r>
    </w:p>
    <w:p>
      <w:pPr>
        <w:spacing w:line="360" w:lineRule="auto"/>
        <w:jc w:val="center"/>
        <w:rPr>
          <w:sz w:val="32"/>
          <w:szCs w:val="32"/>
        </w:rPr>
      </w:pPr>
      <w:r>
        <w:rPr>
          <w:rFonts w:hint="eastAsia"/>
          <w:b/>
          <w:sz w:val="30"/>
          <w:szCs w:val="30"/>
        </w:rPr>
        <w:t>审核：</w:t>
      </w:r>
      <w:r>
        <w:rPr>
          <w:rFonts w:hint="eastAsia"/>
          <w:b/>
          <w:sz w:val="30"/>
          <w:szCs w:val="30"/>
          <w:u w:val="single"/>
        </w:rPr>
        <w:t xml:space="preserve"> </w:t>
      </w:r>
      <w:r>
        <w:rPr>
          <w:rFonts w:hint="eastAsia"/>
          <w:b/>
          <w:sz w:val="30"/>
          <w:szCs w:val="30"/>
          <w:u w:val="single"/>
          <w:lang w:val="en-US" w:eastAsia="zh-CN"/>
        </w:rPr>
        <w:t>王镇城</w:t>
      </w:r>
      <w:r>
        <w:rPr>
          <w:rFonts w:hint="eastAsia"/>
          <w:b/>
          <w:sz w:val="30"/>
          <w:szCs w:val="30"/>
          <w:u w:val="single"/>
        </w:rPr>
        <w:t xml:space="preserve"> </w:t>
      </w:r>
    </w:p>
    <w:p>
      <w:pPr>
        <w:spacing w:line="360" w:lineRule="auto"/>
        <w:jc w:val="center"/>
        <w:rPr>
          <w:b/>
          <w:sz w:val="30"/>
          <w:szCs w:val="30"/>
        </w:rPr>
      </w:pPr>
      <w:r>
        <w:rPr>
          <w:rFonts w:hint="eastAsia"/>
          <w:b/>
          <w:sz w:val="30"/>
          <w:szCs w:val="30"/>
        </w:rPr>
        <w:t>批准：</w:t>
      </w:r>
      <w:r>
        <w:rPr>
          <w:rFonts w:hint="eastAsia"/>
          <w:b/>
          <w:sz w:val="30"/>
          <w:szCs w:val="30"/>
          <w:u w:val="single"/>
        </w:rPr>
        <w:t xml:space="preserve"> </w:t>
      </w:r>
      <w:r>
        <w:rPr>
          <w:rFonts w:hint="eastAsia"/>
          <w:b/>
          <w:sz w:val="30"/>
          <w:szCs w:val="30"/>
          <w:u w:val="single"/>
          <w:lang w:val="en-US" w:eastAsia="zh-CN"/>
        </w:rPr>
        <w:t>蔡海涛</w:t>
      </w:r>
      <w:r>
        <w:rPr>
          <w:rFonts w:hint="eastAsia"/>
          <w:b/>
          <w:sz w:val="30"/>
          <w:szCs w:val="30"/>
          <w:u w:val="single"/>
        </w:rPr>
        <w:t xml:space="preserve"> </w:t>
      </w:r>
    </w:p>
    <w:p>
      <w:pPr>
        <w:spacing w:line="360" w:lineRule="auto"/>
        <w:jc w:val="center"/>
        <w:rPr>
          <w:rFonts w:hint="eastAsia" w:eastAsia="宋体"/>
          <w:b/>
          <w:sz w:val="30"/>
          <w:szCs w:val="30"/>
          <w:lang w:val="en-US" w:eastAsia="zh-CN"/>
        </w:rPr>
      </w:pPr>
      <w:r>
        <w:rPr>
          <w:rFonts w:hint="eastAsia"/>
          <w:b/>
          <w:sz w:val="30"/>
          <w:szCs w:val="30"/>
        </w:rPr>
        <w:t>生效日期：</w:t>
      </w:r>
      <w:r>
        <w:rPr>
          <w:rFonts w:hint="eastAsia"/>
          <w:b/>
          <w:sz w:val="30"/>
          <w:szCs w:val="30"/>
          <w:u w:val="single"/>
        </w:rPr>
        <w:t>202</w:t>
      </w:r>
      <w:r>
        <w:rPr>
          <w:rFonts w:hint="eastAsia"/>
          <w:b/>
          <w:sz w:val="30"/>
          <w:szCs w:val="30"/>
          <w:u w:val="single"/>
          <w:lang w:val="en-US" w:eastAsia="zh-CN"/>
        </w:rPr>
        <w:t>1</w:t>
      </w:r>
      <w:r>
        <w:rPr>
          <w:rFonts w:hint="eastAsia"/>
          <w:b/>
          <w:sz w:val="30"/>
          <w:szCs w:val="30"/>
          <w:u w:val="single"/>
        </w:rPr>
        <w:t>-1</w:t>
      </w:r>
      <w:r>
        <w:rPr>
          <w:rFonts w:hint="eastAsia"/>
          <w:b/>
          <w:sz w:val="30"/>
          <w:szCs w:val="30"/>
          <w:u w:val="single"/>
          <w:lang w:val="en-US" w:eastAsia="zh-CN"/>
        </w:rPr>
        <w:t>1</w:t>
      </w:r>
      <w:r>
        <w:rPr>
          <w:rFonts w:hint="eastAsia"/>
          <w:b/>
          <w:sz w:val="30"/>
          <w:szCs w:val="30"/>
          <w:u w:val="single"/>
        </w:rPr>
        <w:t>-1</w:t>
      </w:r>
      <w:r>
        <w:rPr>
          <w:rFonts w:hint="eastAsia"/>
          <w:b/>
          <w:sz w:val="30"/>
          <w:szCs w:val="30"/>
          <w:u w:val="single"/>
          <w:lang w:val="en-US" w:eastAsia="zh-CN"/>
        </w:rPr>
        <w:t>8</w:t>
      </w:r>
    </w:p>
    <w:p>
      <w:pPr>
        <w:pStyle w:val="8"/>
        <w:spacing w:line="360" w:lineRule="auto"/>
        <w:jc w:val="center"/>
        <w:rPr>
          <w:rFonts w:ascii="方正小标宋简体" w:hAnsi="方正小标宋简体" w:eastAsia="方正小标宋简体" w:cs="方正小标宋简体"/>
          <w:bCs/>
          <w:kern w:val="2"/>
          <w:sz w:val="44"/>
          <w:szCs w:val="44"/>
        </w:rPr>
      </w:pPr>
    </w:p>
    <w:p>
      <w:pPr>
        <w:pStyle w:val="8"/>
        <w:spacing w:line="360" w:lineRule="auto"/>
        <w:jc w:val="center"/>
        <w:rPr>
          <w:rFonts w:ascii="方正小标宋简体" w:hAnsi="方正小标宋简体" w:eastAsia="方正小标宋简体" w:cs="方正小标宋简体"/>
          <w:bCs/>
          <w:kern w:val="2"/>
          <w:sz w:val="44"/>
          <w:szCs w:val="44"/>
        </w:rPr>
      </w:pPr>
    </w:p>
    <w:p>
      <w:pPr>
        <w:spacing w:line="360" w:lineRule="auto"/>
        <w:ind w:firstLine="640" w:firstLineChars="200"/>
        <w:rPr>
          <w:rFonts w:ascii="仿宋" w:hAnsi="仿宋" w:eastAsia="仿宋" w:cs="仿宋"/>
          <w:color w:val="000000"/>
          <w:sz w:val="32"/>
          <w:szCs w:val="32"/>
        </w:rPr>
      </w:pPr>
    </w:p>
    <w:p/>
    <w:p>
      <w:bookmarkStart w:id="0" w:name="_GoBack"/>
      <w:bookmarkEnd w:id="0"/>
    </w:p>
    <w:p/>
    <w:p/>
    <w:p/>
    <w:p/>
    <w:p>
      <w:pPr>
        <w:numPr>
          <w:ilvl w:val="0"/>
          <w:numId w:val="1"/>
        </w:numPr>
        <w:spacing w:line="360" w:lineRule="auto"/>
        <w:ind w:firstLine="482" w:firstLineChars="200"/>
        <w:rPr>
          <w:rStyle w:val="7"/>
          <w:rFonts w:ascii="宋体" w:hAnsi="宋体" w:cs="宋体"/>
          <w:color w:val="000000"/>
          <w:kern w:val="0"/>
          <w:sz w:val="24"/>
        </w:rPr>
      </w:pPr>
      <w:r>
        <w:rPr>
          <w:rStyle w:val="7"/>
          <w:rFonts w:hint="eastAsia" w:ascii="宋体" w:hAnsi="宋体" w:cs="宋体"/>
          <w:color w:val="000000"/>
          <w:kern w:val="0"/>
          <w:sz w:val="24"/>
        </w:rPr>
        <w:t>目的</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为加强精炼厂白银供应链合规性管理，根据《LBMA负责任白银指南》的要求，确保供应链无侵犯人权、洗钱及恐怖分子筹资等行为。我司制定了含银物料和销售审查制度，供应商都应配合公司尽职调查小组的审查。各供应商应遵守国家相关法律法规，对供应的白银确保来源和去向合规。允许公司的相关方（受影响人员或举报者）说出与采矿、贸易、加工和出口情况有关的疑虑并得到妥善处理。</w:t>
      </w:r>
    </w:p>
    <w:p>
      <w:pPr>
        <w:numPr>
          <w:ilvl w:val="0"/>
          <w:numId w:val="1"/>
        </w:numPr>
        <w:spacing w:line="360" w:lineRule="auto"/>
        <w:ind w:firstLine="482" w:firstLineChars="200"/>
        <w:rPr>
          <w:rStyle w:val="7"/>
          <w:rFonts w:ascii="宋体" w:hAnsi="宋体" w:cs="宋体"/>
          <w:color w:val="000000"/>
          <w:kern w:val="0"/>
          <w:sz w:val="24"/>
        </w:rPr>
      </w:pPr>
      <w:r>
        <w:rPr>
          <w:rStyle w:val="7"/>
          <w:rFonts w:hint="eastAsia" w:ascii="宋体" w:hAnsi="宋体" w:cs="宋体"/>
          <w:color w:val="000000"/>
          <w:kern w:val="0"/>
          <w:sz w:val="24"/>
        </w:rPr>
        <w:t>依据</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《LBMA负责任白银指南》、《LBMA负责任的白银供应链尽职调查管理体系》</w:t>
      </w:r>
    </w:p>
    <w:p>
      <w:pPr>
        <w:numPr>
          <w:ilvl w:val="0"/>
          <w:numId w:val="1"/>
        </w:numPr>
        <w:spacing w:line="360" w:lineRule="auto"/>
        <w:ind w:firstLine="482" w:firstLineChars="200"/>
        <w:rPr>
          <w:rStyle w:val="7"/>
          <w:rFonts w:ascii="宋体" w:hAnsi="宋体" w:cs="宋体"/>
          <w:color w:val="000000"/>
          <w:kern w:val="0"/>
          <w:sz w:val="24"/>
        </w:rPr>
      </w:pPr>
      <w:r>
        <w:rPr>
          <w:rStyle w:val="7"/>
          <w:rFonts w:hint="eastAsia" w:ascii="宋体" w:hAnsi="宋体" w:cs="宋体"/>
          <w:color w:val="000000"/>
          <w:kern w:val="0"/>
          <w:sz w:val="24"/>
        </w:rPr>
        <w:t>适用范围</w:t>
      </w:r>
    </w:p>
    <w:p>
      <w:pPr>
        <w:spacing w:line="360" w:lineRule="auto"/>
        <w:ind w:firstLine="480" w:firstLineChars="200"/>
        <w:rPr>
          <w:rFonts w:ascii="宋体" w:hAnsi="宋体" w:cs="宋体"/>
          <w:color w:val="333333"/>
          <w:kern w:val="0"/>
          <w:sz w:val="24"/>
        </w:rPr>
      </w:pPr>
      <w:r>
        <w:rPr>
          <w:rFonts w:hint="eastAsia" w:ascii="宋体" w:hAnsi="宋体" w:cs="Calibri"/>
          <w:color w:val="000000"/>
          <w:kern w:val="0"/>
          <w:sz w:val="24"/>
        </w:rPr>
        <w:t>本程序适用于本公司的相关方及本公司涉及负责任矿物采购相关工作的部门、单位及人员。</w:t>
      </w:r>
    </w:p>
    <w:p>
      <w:pPr>
        <w:numPr>
          <w:ilvl w:val="0"/>
          <w:numId w:val="1"/>
        </w:numPr>
        <w:spacing w:line="360" w:lineRule="auto"/>
        <w:ind w:firstLine="482" w:firstLineChars="200"/>
        <w:rPr>
          <w:rStyle w:val="7"/>
          <w:rFonts w:ascii="宋体" w:hAnsi="宋体" w:cs="宋体"/>
          <w:color w:val="000000"/>
          <w:kern w:val="0"/>
          <w:sz w:val="24"/>
        </w:rPr>
      </w:pPr>
      <w:r>
        <w:rPr>
          <w:rStyle w:val="7"/>
          <w:rFonts w:hint="eastAsia" w:ascii="宋体" w:hAnsi="宋体" w:cs="宋体"/>
          <w:color w:val="000000"/>
          <w:kern w:val="0"/>
          <w:sz w:val="24"/>
        </w:rPr>
        <w:t>管理机构及职责</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公司设立申诉工作处理小组，成员由风险总监、合规风控官、合规专员组成，工作组负责对申诉的处理。</w:t>
      </w:r>
    </w:p>
    <w:p>
      <w:pPr>
        <w:numPr>
          <w:ilvl w:val="0"/>
          <w:numId w:val="1"/>
        </w:numPr>
        <w:spacing w:line="360" w:lineRule="auto"/>
        <w:ind w:firstLine="482" w:firstLineChars="200"/>
        <w:rPr>
          <w:rStyle w:val="7"/>
          <w:rFonts w:ascii="宋体" w:hAnsi="宋体" w:cs="宋体"/>
          <w:color w:val="000000"/>
          <w:kern w:val="0"/>
          <w:sz w:val="24"/>
        </w:rPr>
      </w:pPr>
      <w:r>
        <w:rPr>
          <w:rStyle w:val="7"/>
          <w:rFonts w:hint="eastAsia" w:ascii="宋体" w:hAnsi="宋体" w:cs="宋体"/>
          <w:color w:val="000000"/>
          <w:kern w:val="0"/>
          <w:sz w:val="24"/>
        </w:rPr>
        <w:t>工作程序</w:t>
      </w:r>
    </w:p>
    <w:p>
      <w:pPr>
        <w:spacing w:line="360" w:lineRule="auto"/>
        <w:ind w:firstLine="482" w:firstLineChars="200"/>
        <w:rPr>
          <w:rStyle w:val="7"/>
          <w:rFonts w:ascii="宋体" w:hAnsi="宋体" w:cs="宋体"/>
          <w:color w:val="000000"/>
          <w:kern w:val="0"/>
          <w:sz w:val="24"/>
        </w:rPr>
      </w:pPr>
      <w:r>
        <w:rPr>
          <w:rStyle w:val="7"/>
          <w:rFonts w:hint="eastAsia" w:ascii="宋体" w:hAnsi="宋体" w:cs="宋体"/>
          <w:color w:val="000000"/>
          <w:kern w:val="0"/>
          <w:sz w:val="24"/>
        </w:rPr>
        <w:t>5.1 申诉信息的收集</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公司设立联系/申诉渠道：</w:t>
      </w:r>
    </w:p>
    <w:p>
      <w:pPr>
        <w:widowControl/>
        <w:spacing w:line="390" w:lineRule="atLeast"/>
        <w:ind w:firstLine="480" w:firstLineChars="200"/>
        <w:jc w:val="left"/>
        <w:rPr>
          <w:rFonts w:ascii="宋体" w:hAnsi="宋体" w:eastAsia="宋体" w:cs="宋体"/>
          <w:color w:val="auto"/>
          <w:kern w:val="0"/>
          <w:sz w:val="24"/>
          <w:szCs w:val="24"/>
        </w:rPr>
      </w:pPr>
      <w:r>
        <w:rPr>
          <w:rFonts w:hint="eastAsia" w:ascii="宋体" w:hAnsi="宋体" w:cs="Calibri"/>
          <w:color w:val="000000"/>
          <w:kern w:val="0"/>
          <w:sz w:val="24"/>
        </w:rPr>
        <w:t>合规总监：</w:t>
      </w:r>
      <w:r>
        <w:rPr>
          <w:rFonts w:hint="eastAsia" w:ascii="宋体" w:hAnsi="宋体" w:cs="Calibri"/>
          <w:color w:val="000000"/>
          <w:kern w:val="0"/>
          <w:sz w:val="24"/>
          <w:lang w:val="en-US" w:eastAsia="zh-CN"/>
        </w:rPr>
        <w:t xml:space="preserve">  </w:t>
      </w:r>
      <w:r>
        <w:rPr>
          <w:rFonts w:hint="eastAsia" w:ascii="宋体" w:hAnsi="宋体" w:eastAsia="宋体" w:cs="宋体"/>
          <w:color w:val="auto"/>
          <w:kern w:val="0"/>
          <w:sz w:val="24"/>
          <w:szCs w:val="24"/>
          <w:lang w:val="en-US" w:eastAsia="zh-CN"/>
        </w:rPr>
        <w:t>王镇城</w:t>
      </w:r>
      <w:r>
        <w:rPr>
          <w:rFonts w:ascii="宋体" w:hAnsi="宋体" w:eastAsia="宋体" w:cs="宋体"/>
          <w:color w:val="auto"/>
          <w:kern w:val="0"/>
          <w:sz w:val="24"/>
          <w:szCs w:val="24"/>
        </w:rPr>
        <w:t>   0755-</w:t>
      </w:r>
      <w:r>
        <w:rPr>
          <w:rFonts w:hint="eastAsia" w:ascii="宋体" w:hAnsi="宋体" w:eastAsia="宋体" w:cs="宋体"/>
          <w:color w:val="auto"/>
          <w:kern w:val="0"/>
          <w:sz w:val="24"/>
          <w:szCs w:val="24"/>
          <w:lang w:val="en-US" w:eastAsia="zh-CN"/>
        </w:rPr>
        <w:t>28510489</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150018161</w:t>
      </w:r>
      <w:r>
        <w:rPr>
          <w:rFonts w:ascii="宋体" w:hAnsi="宋体" w:eastAsia="宋体" w:cs="宋体"/>
          <w:color w:val="auto"/>
          <w:kern w:val="0"/>
          <w:sz w:val="24"/>
          <w:szCs w:val="24"/>
        </w:rPr>
        <w:t>@qq.com</w:t>
      </w:r>
    </w:p>
    <w:p>
      <w:pPr>
        <w:widowControl/>
        <w:spacing w:line="390" w:lineRule="atLeast"/>
        <w:ind w:firstLine="480" w:firstLineChars="200"/>
        <w:jc w:val="left"/>
        <w:rPr>
          <w:rFonts w:ascii="宋体" w:hAnsi="宋体" w:eastAsia="宋体" w:cs="宋体"/>
          <w:color w:val="auto"/>
          <w:kern w:val="0"/>
          <w:sz w:val="24"/>
          <w:szCs w:val="24"/>
        </w:rPr>
      </w:pPr>
      <w:r>
        <w:rPr>
          <w:rFonts w:hint="eastAsia" w:ascii="宋体" w:hAnsi="宋体" w:cs="Calibri"/>
          <w:color w:val="000000"/>
          <w:kern w:val="0"/>
          <w:sz w:val="24"/>
        </w:rPr>
        <w:t>合规风控官：</w:t>
      </w:r>
      <w:r>
        <w:rPr>
          <w:rFonts w:hint="eastAsia" w:ascii="宋体" w:hAnsi="宋体" w:eastAsia="宋体" w:cs="宋体"/>
          <w:color w:val="auto"/>
          <w:kern w:val="0"/>
          <w:sz w:val="24"/>
          <w:szCs w:val="24"/>
          <w:lang w:val="en-US" w:eastAsia="zh-CN"/>
        </w:rPr>
        <w:t>杨培茹</w:t>
      </w:r>
      <w:r>
        <w:rPr>
          <w:rFonts w:ascii="宋体" w:hAnsi="宋体" w:eastAsia="宋体" w:cs="宋体"/>
          <w:color w:val="auto"/>
          <w:kern w:val="0"/>
          <w:sz w:val="24"/>
          <w:szCs w:val="24"/>
        </w:rPr>
        <w:t>   0755-2</w:t>
      </w:r>
      <w:r>
        <w:rPr>
          <w:rFonts w:hint="eastAsia" w:ascii="宋体" w:hAnsi="宋体" w:eastAsia="宋体" w:cs="宋体"/>
          <w:color w:val="auto"/>
          <w:kern w:val="0"/>
          <w:sz w:val="24"/>
          <w:szCs w:val="24"/>
          <w:lang w:val="en-US" w:eastAsia="zh-CN"/>
        </w:rPr>
        <w:t>8510489</w:t>
      </w:r>
      <w:r>
        <w:rPr>
          <w:rFonts w:ascii="宋体" w:hAnsi="宋体" w:eastAsia="宋体" w:cs="宋体"/>
          <w:color w:val="auto"/>
          <w:kern w:val="0"/>
          <w:sz w:val="24"/>
          <w:szCs w:val="24"/>
        </w:rPr>
        <w:t>   </w:t>
      </w:r>
      <w:r>
        <w:rPr>
          <w:rFonts w:hint="eastAsia" w:ascii="宋体" w:hAnsi="宋体" w:eastAsia="宋体" w:cs="宋体"/>
          <w:color w:val="auto"/>
          <w:kern w:val="0"/>
          <w:sz w:val="24"/>
          <w:szCs w:val="24"/>
          <w:lang w:val="en-US" w:eastAsia="zh-CN"/>
        </w:rPr>
        <w:t xml:space="preserve"> 2139711696@qq.com</w:t>
      </w:r>
    </w:p>
    <w:p>
      <w:pPr>
        <w:shd w:val="clear"/>
        <w:spacing w:line="360" w:lineRule="auto"/>
        <w:ind w:firstLine="480" w:firstLineChars="200"/>
        <w:rPr>
          <w:rFonts w:ascii="宋体" w:hAnsi="宋体" w:cs="Calibri"/>
          <w:color w:val="000000" w:themeColor="text1"/>
          <w:kern w:val="0"/>
          <w:sz w:val="24"/>
          <w:highlight w:val="none"/>
          <w:shd w:val="clear" w:fill="FFFFFF" w:themeFill="background1"/>
          <w14:textFill>
            <w14:solidFill>
              <w14:schemeClr w14:val="tx1"/>
            </w14:solidFill>
          </w14:textFill>
        </w:rPr>
      </w:pPr>
      <w:r>
        <w:rPr>
          <w:rFonts w:hint="eastAsia" w:ascii="宋体" w:hAnsi="宋体" w:cs="Calibri"/>
          <w:color w:val="000000" w:themeColor="text1"/>
          <w:kern w:val="0"/>
          <w:sz w:val="24"/>
          <w:highlight w:val="none"/>
          <w14:textFill>
            <w14:solidFill>
              <w14:schemeClr w14:val="tx1"/>
            </w14:solidFill>
          </w14:textFill>
        </w:rPr>
        <w:t>公</w:t>
      </w:r>
      <w:r>
        <w:rPr>
          <w:rFonts w:hint="eastAsia" w:ascii="宋体" w:hAnsi="宋体" w:cs="Calibri"/>
          <w:color w:val="000000" w:themeColor="text1"/>
          <w:kern w:val="0"/>
          <w:sz w:val="24"/>
          <w:highlight w:val="none"/>
          <w:shd w:val="clear" w:fill="FFFFFF" w:themeFill="background1"/>
          <w14:textFill>
            <w14:solidFill>
              <w14:schemeClr w14:val="tx1"/>
            </w14:solidFill>
          </w14:textFill>
        </w:rPr>
        <w:t>司在官网www.</w:t>
      </w:r>
      <w:r>
        <w:rPr>
          <w:rFonts w:hint="eastAsia" w:ascii="宋体" w:hAnsi="宋体" w:cs="Calibri"/>
          <w:color w:val="000000" w:themeColor="text1"/>
          <w:kern w:val="0"/>
          <w:sz w:val="24"/>
          <w:highlight w:val="none"/>
          <w:shd w:val="clear" w:fill="FFFFFF" w:themeFill="background1"/>
          <w:lang w:val="en-US" w:eastAsia="zh-CN"/>
          <w14:textFill>
            <w14:solidFill>
              <w14:schemeClr w14:val="tx1"/>
            </w14:solidFill>
          </w14:textFill>
        </w:rPr>
        <w:t>yuexin9999</w:t>
      </w:r>
      <w:r>
        <w:rPr>
          <w:rFonts w:hint="eastAsia" w:ascii="宋体" w:hAnsi="宋体" w:cs="Calibri"/>
          <w:color w:val="000000" w:themeColor="text1"/>
          <w:kern w:val="0"/>
          <w:sz w:val="24"/>
          <w:highlight w:val="none"/>
          <w:shd w:val="clear" w:fill="FFFFFF" w:themeFill="background1"/>
          <w14:textFill>
            <w14:solidFill>
              <w14:schemeClr w14:val="tx1"/>
            </w14:solidFill>
          </w14:textFill>
        </w:rPr>
        <w:t>.com中《LBMA负责任的白银公告》中予以公布，电话、电子邮箱用于接收相关的询问和申诉，由公司合规专员定期查看。</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工作中接收到的相关方关于负责任供应链的与采矿、贸易、加工和出口情况有关的疑虑方面的信息。</w:t>
      </w:r>
    </w:p>
    <w:p>
      <w:pPr>
        <w:spacing w:line="360" w:lineRule="auto"/>
        <w:ind w:firstLine="482" w:firstLineChars="200"/>
        <w:rPr>
          <w:rStyle w:val="7"/>
          <w:rFonts w:ascii="宋体" w:hAnsi="宋体" w:cs="宋体"/>
          <w:color w:val="000000"/>
          <w:kern w:val="0"/>
          <w:sz w:val="24"/>
        </w:rPr>
      </w:pPr>
      <w:r>
        <w:rPr>
          <w:rStyle w:val="7"/>
          <w:rFonts w:hint="eastAsia" w:ascii="宋体" w:hAnsi="宋体" w:cs="宋体"/>
          <w:color w:val="000000"/>
          <w:kern w:val="0"/>
          <w:sz w:val="24"/>
        </w:rPr>
        <w:t>5.2 申诉的内容</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相关方对公司的供应链管理提起申诉时，该申诉需包含以下内容：</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（1）具体说明向何种决定提起申诉及理由；</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（2）附相关书面证据；</w:t>
      </w:r>
    </w:p>
    <w:p>
      <w:pPr>
        <w:spacing w:line="360" w:lineRule="auto"/>
        <w:ind w:firstLine="480" w:firstLineChars="200"/>
        <w:rPr>
          <w:rFonts w:ascii="宋体" w:hAnsi="宋体" w:cs="宋体"/>
          <w:color w:val="333333"/>
          <w:kern w:val="0"/>
          <w:sz w:val="24"/>
        </w:rPr>
      </w:pPr>
      <w:r>
        <w:rPr>
          <w:rFonts w:hint="eastAsia" w:ascii="宋体" w:hAnsi="宋体" w:cs="Calibri"/>
          <w:color w:val="000000"/>
          <w:kern w:val="0"/>
          <w:sz w:val="24"/>
        </w:rPr>
        <w:t>（3）具体说明在提出申诉之前采取了哪些步骤来解决问题；</w:t>
      </w:r>
    </w:p>
    <w:p>
      <w:pPr>
        <w:spacing w:line="360" w:lineRule="auto"/>
        <w:ind w:firstLine="482" w:firstLineChars="200"/>
        <w:rPr>
          <w:rStyle w:val="7"/>
          <w:rFonts w:ascii="宋体" w:hAnsi="宋体" w:cs="宋体"/>
          <w:color w:val="000000"/>
          <w:kern w:val="0"/>
          <w:sz w:val="24"/>
        </w:rPr>
      </w:pPr>
      <w:r>
        <w:rPr>
          <w:rStyle w:val="7"/>
          <w:rFonts w:hint="eastAsia" w:ascii="宋体" w:hAnsi="宋体" w:cs="宋体"/>
          <w:color w:val="000000"/>
          <w:kern w:val="0"/>
          <w:sz w:val="24"/>
        </w:rPr>
        <w:t>5.3 申诉信息的分类</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公司需对接收到的询问和申诉信息进行分类识别，申诉信息分为一般信息、特殊/重要申诉信息、不予受理信息。</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5.3.1 一般信息：相关方对公司负责任矿物供应链管理的咨询、供方的调查问卷等。</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5.3.2 特殊或重要申诉信息：</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（1）管理不符合LBMA要求的信息；</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（2）对供应商的矿物采购涉及公司识别的高风险区域的信息；</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（3）对供应商的矿物采购不符合公司的供应链政策的信息。</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5.3.3 不予受理信息：</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（1）琐碎、恶意、无理取闹或似乎是为了获得竞争优势而产生的投诉。</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（2）没有令人信服的客观证据支持的投诉。</w:t>
      </w:r>
    </w:p>
    <w:p>
      <w:pPr>
        <w:spacing w:line="360" w:lineRule="auto"/>
        <w:ind w:firstLine="482" w:firstLineChars="200"/>
        <w:rPr>
          <w:rStyle w:val="7"/>
          <w:rFonts w:ascii="宋体" w:hAnsi="宋体" w:cs="宋体"/>
          <w:color w:val="000000"/>
          <w:kern w:val="0"/>
          <w:sz w:val="24"/>
        </w:rPr>
      </w:pPr>
      <w:r>
        <w:rPr>
          <w:rStyle w:val="7"/>
          <w:rFonts w:hint="eastAsia" w:ascii="宋体" w:hAnsi="宋体" w:cs="宋体"/>
          <w:color w:val="000000"/>
          <w:kern w:val="0"/>
          <w:sz w:val="24"/>
        </w:rPr>
        <w:t>5.4 申诉的处理</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5.4.1 关于匿名申诉</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支持匿名申诉，申诉工作处理小组不得对工作小组以外的任何人泄露申诉人信息，对于可能涉及申诉人信息的申诉内容予以保密，如申诉内容与工作小组成员有利害关系，工作小组应立即要求该成员避嫌。如发现有任何打击报复申诉人的情况，公司将对相关涉事员工按公司章程严肃从重处理，如涉嫌违法犯罪，立即报案并移送司法机关处理。</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5.4.2 申诉处理流程</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申诉处理小组工作组应在收到申诉后 10 个工作日内确认收到申诉，在基于申诉是否符合5.3的基础上确认接受或拒绝申诉。</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如果申诉被拒绝，应向申诉方提供书面解释，并记录在案。不得采取进一步行动。</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对特殊重要申诉信息由申诉处理小组在决定受理后45个工作日内对上诉或投诉进行调查、审查和裁决。处理小组应尽最大努力在截止日期前完成工作。在极少数情况下可能需要额外的时间。申诉处理小组应采取合理措施，包括召开一次或多次会议，以作出合理决定。这类措施的例子包括:</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（1）咨询专家</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（2）请求申诉方或其他人提供更多信息</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（3）申诉方不合作可被视为中止该程序的理由。申诉处理小组应协商一致决定是否中止申诉程序。</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（4）申诉决定以书面形式传达给申诉方，申诉决定应包含：</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（5）申诉决定</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（6）申诉决定是如何以及何时做出的</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（7）任何新的建议</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合规专员定期总结风险情况处理结果，并在公司官网公示申诉内容、处理方式及处理结果，合规风控官负责全程监督风险减缓措施的实施并每日向合规总监汇报进度，在风险减缓措施实施完成后，由合规总监定期评估措施的有效性并作出总结和评价。</w:t>
      </w:r>
    </w:p>
    <w:p>
      <w:pPr>
        <w:spacing w:line="360" w:lineRule="auto"/>
        <w:ind w:firstLine="482" w:firstLineChars="200"/>
        <w:rPr>
          <w:rStyle w:val="7"/>
          <w:rFonts w:ascii="宋体" w:hAnsi="宋体" w:cs="宋体"/>
          <w:color w:val="000000"/>
          <w:kern w:val="0"/>
          <w:sz w:val="24"/>
        </w:rPr>
      </w:pPr>
      <w:r>
        <w:rPr>
          <w:rStyle w:val="7"/>
          <w:rFonts w:hint="eastAsia" w:ascii="宋体" w:hAnsi="宋体" w:cs="宋体"/>
          <w:color w:val="000000"/>
          <w:kern w:val="0"/>
          <w:sz w:val="24"/>
        </w:rPr>
        <w:t>5.5 申诉的记录</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申诉工作处理小组应将收到的申诉记录在案，包括以下内容:</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（1）何人何时提交申诉；</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（2）申诉的类型、问题或主题以及随申诉提交的信息；</w:t>
      </w:r>
    </w:p>
    <w:p>
      <w:pPr>
        <w:spacing w:line="360" w:lineRule="auto"/>
        <w:ind w:firstLine="480" w:firstLineChars="200"/>
        <w:rPr>
          <w:rFonts w:ascii="宋体" w:hAnsi="宋体" w:cs="Calibri"/>
          <w:color w:val="000000"/>
          <w:kern w:val="0"/>
          <w:sz w:val="24"/>
        </w:rPr>
      </w:pPr>
      <w:r>
        <w:rPr>
          <w:rFonts w:hint="eastAsia" w:ascii="宋体" w:hAnsi="宋体" w:cs="Calibri"/>
          <w:color w:val="000000"/>
          <w:kern w:val="0"/>
          <w:sz w:val="24"/>
        </w:rPr>
        <w:t>（3）接受或拒绝决定。</w:t>
      </w:r>
    </w:p>
    <w:p>
      <w:pPr>
        <w:spacing w:line="360" w:lineRule="auto"/>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294F4D"/>
    <w:multiLevelType w:val="singleLevel"/>
    <w:tmpl w:val="F9294F4D"/>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466"/>
    <w:rsid w:val="00243624"/>
    <w:rsid w:val="00254DD2"/>
    <w:rsid w:val="003B76BA"/>
    <w:rsid w:val="00404773"/>
    <w:rsid w:val="004C0604"/>
    <w:rsid w:val="006430F5"/>
    <w:rsid w:val="008E1113"/>
    <w:rsid w:val="00974466"/>
    <w:rsid w:val="009B4DEC"/>
    <w:rsid w:val="00C7173A"/>
    <w:rsid w:val="00D40847"/>
    <w:rsid w:val="00D86F57"/>
    <w:rsid w:val="00DD13F4"/>
    <w:rsid w:val="00EC2099"/>
    <w:rsid w:val="014C13EA"/>
    <w:rsid w:val="23EC7212"/>
    <w:rsid w:val="4D8423E9"/>
    <w:rsid w:val="50210E61"/>
    <w:rsid w:val="66CA7E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bCs/>
    </w:rPr>
  </w:style>
  <w:style w:type="paragraph" w:customStyle="1" w:styleId="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9">
    <w:name w:val="页眉 Char"/>
    <w:basedOn w:val="6"/>
    <w:link w:val="3"/>
    <w:uiPriority w:val="99"/>
    <w:rPr>
      <w:kern w:val="2"/>
      <w:sz w:val="18"/>
      <w:szCs w:val="18"/>
    </w:rPr>
  </w:style>
  <w:style w:type="character" w:customStyle="1" w:styleId="10">
    <w:name w:val="页脚 Char"/>
    <w:basedOn w:val="6"/>
    <w:link w:val="2"/>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Pages>
  <Words>260</Words>
  <Characters>1484</Characters>
  <Lines>12</Lines>
  <Paragraphs>3</Paragraphs>
  <TotalTime>3</TotalTime>
  <ScaleCrop>false</ScaleCrop>
  <LinksUpToDate>false</LinksUpToDate>
  <CharactersWithSpaces>1741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2021-09-01T09:24:00Z</dcterms:created>
  <dc:creator>zhl111</dc:creator>
  <cp:lastModifiedBy>覃克江</cp:lastModifiedBy>
  <dcterms:modified xsi:type="dcterms:W3CDTF">2023-01-11T06:30:07Z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CEBE3B2D6ACC4BE1A28EB1AFC60F4E68</vt:lpwstr>
  </property>
</Properties>
</file>